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shd w:val="clear"/>
        </w:rPr>
        <w:t>Cas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tellón de la Plana, 9 de abril de 2024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. 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Oficina de extranjería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, asilo y refugio. 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Yo Nidia Margarita Zumba Hernández de 30 años de edad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, de nacionalidad salvadoreña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y con número de pasaporte A04820711, con domicilio actual en Calle Borja 5, piso 5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puerta 10, 12110 L’Alcora, la cual ingrese a España el pasado 25 de mayo de 2023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acompañada de mi pareja Jorge Luis Reyes Centeno y nuestra hija Lisseth Abigail Reyes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>Zumba.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Por medio de la presente describiré los motivos por los cuales deseo que esta solicitud de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protección internacional sea admitida. 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Durante los últimos años mi pareja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>ha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 sid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o obligado a transportar en nuestro vehículo a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pandilleros de la mara salvatrucha (MS13) de la célula “santo Tomás locos salvatrucha”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que opera en la colonia donde residíamos a las afueras de San Salvador, el transportaba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a estos sujetos de nuestra colonia a colonias aledañas y viceversa, siempre que ellos lo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requerían llegaban a casa y lo obligaban a salir utilizando lenguaje con violencia y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amenazas si en caso intentaba negarse. Con la implementación del régimen de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excepción en el año 2022 estos sujetos utilizaban a mi marido para evadir los controles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efectuados por la Policia Nacional Civil. Nuestro temor se vio incrementado ya que el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puede verse involucrado en alguna captura mientras transporta a estos pandilleros de un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lugar a otro y ser tomado como un miembro o un colaborador de la pandilla sin ser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debidamente investigado, así mismo de sufrir algún ataque por alguno de estos sujetos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en caso de negarnos. 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A continuación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 relataré a detalle el origen de los acontecimientos. 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A finales del año 2019 decidimos con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 mi pareja formar una familia, meses después de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vivir juntos en la colonia San Jose 2 de Santo Tomas, San Salvador, recibimos la visita de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dos sujetos los cuales llegaron y amenazaron a mi pareja que debía de ayudar a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transportar a los pandilleros cuando ellos lo requerirían en compensación de una cuota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de extorsion que anteriormente pagaba su madre, razón por la cual ella abandonó el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país. Esa situación se mantuvo de manera esporádica hasta que en el año 2022 con el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inicio del régimen de excepción, las exigencias de los sujetos aumentaría y se convirtió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en algo rutinario transportarlos.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Con la ayuda de mi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 hermano Wilver Ovidio Zumba, quien en ese momento era agente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de la Policia y actualmente por problemas con la misma pandilla se encuentra asilado en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los Estados Unidos, nos recomendó que realizáramos una denuncia anónima al sistema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123 para reportar estos hechos, fue después de esto que en un operativo de la policía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realizaron la captura de uno de los sujetos que nos mantenía bajo amenazas su nombre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es Eddie Santiago, días después de este hecho se presentó a la casa otro sujeto que se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identificó como el jefe de la célula, este sacó a mi marido de la casa para exigir que le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confesara que el había realizado dicha denuncia contra este sujeto, y amenazaron con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que realizarían su investigación y determinarían quién había denunciado y de ser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nosotros que lo habíamos hecho nos desaparecerían a todos. Los viajes continuaron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hasta la fecha de nuestra huida del país y el temor siempre fue latente al estar bajo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amenaza de perder nuestras vidas y con el Régimen de Excepción en vigor el cual elimina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las garantías de un proceso judicial justo manteníamos una presión psicológica alta al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pensar que en cualquier momento sería capturado en algún operativo en su vehículo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con los pandilleros conduciéndose con el y así ser tomado como colaborador y ser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trasladado al centro de confinamiento de pandilleros, así como muchas personas de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manera injusta. 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>A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gradezco el tiempo prestado y espero que sea concedida la protección internacional a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mi persona, ya que al regresar a mi país tengo el riesgo de sufrir algún atentado en 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contra de mi persona o algún miembro de mi familia. 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shd w:val="clear"/>
        </w:rPr>
        <w:t xml:space="preserve">Me despido muy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 atentamente.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>Nidi</w:t>
      </w:r>
      <w:r>
        <w:rPr>
          <w:color w:val="auto"/>
          <w:sz w:val="22"/>
          <w:szCs w:val="22"/>
          <w:shd w:val="clear"/>
          <w:rFonts w:ascii="NanumGothic" w:eastAsia="NanumGothic" w:hAnsi="NanumGothic" w:cs="NanumGothic"/>
        </w:rPr>
        <w:t xml:space="preserve">a Margarita Zumba Hernández. </w:t>
      </w:r>
    </w:p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/>
      </w:rPr>
    </w:rPrDefault>
  </w:docDefaults>
  <w:style w:default="1" w:styleId="PO1" w:type="paragraph">
    <w:name w:val="Normal"/>
    <w:next w:val="PO1"/>
    <w:qFormat/>
    <w:uiPriority w:val="-1"/>
    <w:pPr>
      <w:jc w:val="both"/>
      <w:spacing w:lineRule="auto" w:line="259"/>
      <w:rPr/>
      <w:widowControl w:val="0"/>
      <w:autoSpaceDE w:val="0"/>
      <w:autoSpaceDN w:val="0"/>
    </w:pPr>
    <w:rPr>
      <w:sz w:val="22"/>
      <w:szCs w:val="22"/>
      <w:shd w:val="clear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2"/>
      <w:szCs w:val="22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653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</cp:coreProperties>
</file>