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9FF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Trading and Profit and Loss Account for the year ended 31 December 2005</w:t>
      </w:r>
    </w:p>
    <w:p w14:paraId="2C698B67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Sales 240,000 Less: Cost of sales: Opening stock 42,744 Add: Purchases 131,568 174,312 Less: Closing stock 46,638 Cost of goods sold 127,674 Gross profit on sales 112,326</w:t>
      </w:r>
    </w:p>
    <w:p w14:paraId="6815B7FF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Add: Discounts received 5,292 Less: General expenses 1,308 Depreciation - Buildings (10% x 114,000) 11,400 Depreciation - Furniture and fittings (10% x 66,000) 6,600 Insurance (5,688 - 300) 5,388 Interest on debentures 2,400 Net profit before tax 100,920</w:t>
      </w:r>
    </w:p>
    <w:p w14:paraId="244099B7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Less: Corporation tax charge 20,000 Net profit after tax 80,920</w:t>
      </w:r>
    </w:p>
    <w:p w14:paraId="5D55C06B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Balance Sheet as at 31 December 2005</w:t>
      </w:r>
    </w:p>
    <w:p w14:paraId="3DC3B8E4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N$ Non-current assets Land at cost 54,000 Buildings at cost 114,000 Less: Depreciation - Buildings 18,000 96,000 Furniture/fittings at cost 66,000 Less: Depreciation - Furniture/fittings 30,000 36,000</w:t>
      </w:r>
    </w:p>
    <w:p w14:paraId="1898CB83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Total non-current assets 186,000</w:t>
      </w:r>
    </w:p>
    <w:p w14:paraId="38C41B69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Current assets Stock - 31 Dec 2005 46,638 Debtors 89,148 Cash in hand 696 Bank (overdrawn) (18,000) Prepaid insurance 300</w:t>
      </w:r>
    </w:p>
    <w:p w14:paraId="565C552C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Total current assets 118,782</w:t>
      </w:r>
    </w:p>
    <w:p w14:paraId="2F3C6482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Less: Current liabilities Creditors (18,900) Wages and salaries owing (840) Provision for doubtful debts (2,448) Returns inwards (1,116)</w:t>
      </w:r>
    </w:p>
    <w:p w14:paraId="3AE89BCE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Total current liabilities (23,304)</w:t>
      </w:r>
    </w:p>
    <w:p w14:paraId="08ADF9BE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Net current assets 95,478</w:t>
      </w:r>
    </w:p>
    <w:p w14:paraId="1552A194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Total assets less current liabilities 281,478</w:t>
      </w:r>
    </w:p>
    <w:p w14:paraId="1E0D5D0B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Financed by: 5% debentures 48,000 Ordinary shares 120,000 Retained earnings (Net profit after tax) 80,920 General reserve 54,558</w:t>
      </w:r>
    </w:p>
    <w:p w14:paraId="01B74445" w14:textId="77777777" w:rsidR="00BE555D" w:rsidRDefault="00BE555D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="Segoe UI" w:hAnsi="Segoe UI" w:cs="Segoe UI"/>
          <w:color w:val="D1D5DB"/>
        </w:rPr>
      </w:pPr>
      <w:r>
        <w:rPr>
          <w:rFonts w:ascii="Segoe UI" w:hAnsi="Segoe UI" w:cs="Segoe UI"/>
          <w:color w:val="D1D5DB"/>
        </w:rPr>
        <w:t>Total equity and liabilities 303,478</w:t>
      </w:r>
    </w:p>
    <w:p w14:paraId="0E460B19" w14:textId="77777777" w:rsidR="00BE555D" w:rsidRDefault="00BE555D"/>
    <w:sectPr w:rsidR="00BE5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5D"/>
    <w:rsid w:val="00B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D39F0"/>
  <w15:chartTrackingRefBased/>
  <w15:docId w15:val="{17E20691-587B-1E42-A0D7-7CDF0A3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A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55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angula</dc:creator>
  <cp:keywords/>
  <dc:description/>
  <cp:lastModifiedBy>paulus angula</cp:lastModifiedBy>
  <cp:revision>2</cp:revision>
  <dcterms:created xsi:type="dcterms:W3CDTF">2023-04-12T19:38:00Z</dcterms:created>
  <dcterms:modified xsi:type="dcterms:W3CDTF">2023-04-12T19:38:00Z</dcterms:modified>
</cp:coreProperties>
</file>